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334155"/>
        </w:rPr>
        <w:t>Triage</w:t>
      </w:r>
    </w:p>
    <w:p>
      <w:r>
        <w:rPr>
          <w:i/>
          <w:color w:val="4338CA"/>
          <w:sz w:val="28"/>
        </w:rPr>
        <w:t>Standard Operating Procedure</w:t>
      </w:r>
    </w:p>
    <w:tbl>
      <w:tblPr>
        <w:tblStyle w:val="LightGrid-Accent1"/>
        <w:tblW w:type="auto" w:w="0"/>
        <w:tblLook w:firstColumn="1" w:firstRow="1" w:lastColumn="0" w:lastRow="0" w:noHBand="0" w:noVBand="1" w:val="04A0"/>
      </w:tblPr>
      <w:tblGrid>
        <w:gridCol w:w="4320"/>
        <w:gridCol w:w="4320"/>
      </w:tblGrid>
      <w:tr>
        <w:tc>
          <w:tcPr>
            <w:tcW w:type="dxa" w:w="4320"/>
          </w:tcPr>
          <w:p>
            <w:r>
              <w:rPr>
                <w:b/>
                <w:sz w:val="20"/>
              </w:rPr>
              <w:t>Process Owner</w:t>
            </w:r>
          </w:p>
        </w:tc>
        <w:tc>
          <w:tcPr>
            <w:tcW w:type="dxa" w:w="4320"/>
          </w:tcPr>
          <w:p>
            <w:r>
              <w:t>Triage Coordinator</w:t>
            </w:r>
          </w:p>
        </w:tc>
      </w:tr>
      <w:tr>
        <w:tc>
          <w:tcPr>
            <w:tcW w:type="dxa" w:w="4320"/>
          </w:tcPr>
          <w:p>
            <w:r>
              <w:rPr>
                <w:b/>
                <w:sz w:val="20"/>
              </w:rPr>
              <w:t>Cases Observed</w:t>
            </w:r>
          </w:p>
        </w:tc>
        <w:tc>
          <w:tcPr>
            <w:tcW w:type="dxa" w:w="4320"/>
          </w:tcPr>
          <w:p>
            <w:r>
              <w:t>384</w:t>
            </w:r>
          </w:p>
        </w:tc>
      </w:tr>
      <w:tr>
        <w:tc>
          <w:tcPr>
            <w:tcW w:type="dxa" w:w="4320"/>
          </w:tcPr>
          <w:p>
            <w:r>
              <w:rPr>
                <w:b/>
                <w:sz w:val="20"/>
              </w:rPr>
              <w:t>Events Analyzed</w:t>
            </w:r>
          </w:p>
        </w:tc>
        <w:tc>
          <w:tcPr>
            <w:tcW w:type="dxa" w:w="4320"/>
          </w:tcPr>
          <w:p>
            <w:r>
              <w:t>1,793</w:t>
            </w:r>
          </w:p>
        </w:tc>
      </w:tr>
      <w:tr>
        <w:tc>
          <w:tcPr>
            <w:tcW w:type="dxa" w:w="4320"/>
          </w:tcPr>
          <w:p>
            <w:r>
              <w:rPr>
                <w:b/>
                <w:sz w:val="20"/>
              </w:rPr>
              <w:t>Median Cycle Time</w:t>
            </w:r>
          </w:p>
        </w:tc>
        <w:tc>
          <w:tcPr>
            <w:tcW w:type="dxa" w:w="4320"/>
          </w:tcPr>
          <w:p>
            <w:r>
              <w:t>3.1 minutes</w:t>
            </w:r>
          </w:p>
        </w:tc>
      </w:tr>
      <w:tr>
        <w:tc>
          <w:tcPr>
            <w:tcW w:type="dxa" w:w="4320"/>
          </w:tcPr>
          <w:p>
            <w:r>
              <w:rPr>
                <w:b/>
                <w:sz w:val="20"/>
              </w:rPr>
              <w:t>Confidence Band</w:t>
            </w:r>
          </w:p>
        </w:tc>
        <w:tc>
          <w:tcPr>
            <w:tcW w:type="dxa" w:w="4320"/>
          </w:tcPr>
          <w:p>
            <w:r>
              <w:t>83% High / Medium-High</w:t>
            </w:r>
          </w:p>
        </w:tc>
      </w:tr>
    </w:tbl>
    <w:p/>
    <w:p>
      <w:r>
        <w:rPr>
          <w:color w:val="64748B"/>
          <w:sz w:val="18"/>
        </w:rPr>
        <w:t>Generated by Pyze Execution Intelligence from a 19-day pilot. Every metric in this document is derived from real production events. See the Case Evidence column on each step for auditable case IDs.</w:t>
      </w:r>
    </w:p>
    <w:p>
      <w:pPr>
        <w:pStyle w:val="Heading1"/>
      </w:pPr>
      <w:r>
        <w:rPr>
          <w:color w:val="334155"/>
        </w:rPr>
        <w:t>1. Purpose</w:t>
      </w:r>
    </w:p>
    <w:p>
      <w:r>
        <w:t>Route cases to the appropriate processing queue based on seriousness, expectedness, and product line. Determines urgency tier and assigns ownership.</w:t>
      </w:r>
    </w:p>
    <w:p>
      <w:pPr>
        <w:pStyle w:val="Heading1"/>
      </w:pPr>
      <w:r>
        <w:rPr>
          <w:color w:val="334155"/>
        </w:rPr>
        <w:t>2. Regulatory Context</w:t>
      </w:r>
    </w:p>
    <w:p>
      <w:r>
        <w:t>Triage decisions set the regulatory clock for SUSAR (7/15-day) and non-SUSAR reporting obligations. Incorrect triage either misses reporting deadlines or wastes specialist bandwidth.</w:t>
      </w:r>
    </w:p>
    <w:p>
      <w:pPr>
        <w:pStyle w:val="Heading1"/>
      </w:pPr>
      <w:r>
        <w:rPr>
          <w:color w:val="334155"/>
        </w:rPr>
        <w:t>3. Standard Flow</w:t>
      </w:r>
    </w:p>
    <w:p>
      <w:r>
        <w:t>The numbered steps below reflect the most commonly observed sequence. Each step includes the specific DOM elements interacted with, captured by Pyze's in-application JavaScript instrumentation — not screenshot coordinates.</w:t>
      </w:r>
    </w:p>
    <w:p>
      <w:pPr>
        <w:pStyle w:val="Heading2"/>
      </w:pPr>
      <w:r>
        <w:rPr>
          <w:color w:val="4338CA"/>
        </w:rPr>
        <w:t>Step 1. View Processing Queue</w:t>
      </w:r>
    </w:p>
    <w:p>
      <w:r>
        <w:rPr>
          <w:color w:val="64748B"/>
          <w:sz w:val="18"/>
        </w:rPr>
        <w:t>Application: None    Frequency: 694 observations    Cases: 269    Analysts: 7    Median duration: 12.0s    Confidence: 100%</w:t>
      </w:r>
    </w:p>
    <w:p>
      <w:pPr>
        <w:pStyle w:val="Heading2"/>
      </w:pPr>
      <w:r>
        <w:rPr>
          <w:color w:val="4338CA"/>
        </w:rPr>
        <w:t>Step 2. View Processing Routed</w:t>
      </w:r>
    </w:p>
    <w:p>
      <w:r>
        <w:rPr>
          <w:color w:val="64748B"/>
          <w:sz w:val="18"/>
        </w:rPr>
        <w:t>Application: None    Frequency: 685 observations    Cases: 275    Analysts: 8    Median duration: 1.0s    Confidence: 100%</w:t>
      </w:r>
    </w:p>
    <w:p>
      <w:pPr>
        <w:pStyle w:val="Heading1"/>
      </w:pPr>
      <w:r>
        <w:rPr>
          <w:color w:val="334155"/>
        </w:rPr>
        <w:t>4. Observed Path Variants</w:t>
      </w:r>
    </w:p>
    <w:p>
      <w:r>
        <w:t>The following activity transitions were observed. Frequency is the share of all step-to-step transitions in this stage.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sz w:val="20"/>
              </w:rPr>
              <w:t>Rank</w:t>
            </w:r>
          </w:p>
        </w:tc>
        <w:tc>
          <w:tcPr>
            <w:tcW w:type="dxa" w:w="2160"/>
          </w:tcPr>
          <w:p>
            <w:r>
              <w:rPr>
                <w:b/>
                <w:sz w:val="20"/>
              </w:rPr>
              <w:t>Transition</w:t>
            </w:r>
          </w:p>
        </w:tc>
        <w:tc>
          <w:tcPr>
            <w:tcW w:type="dxa" w:w="2160"/>
          </w:tcPr>
          <w:p>
            <w:r>
              <w:rPr>
                <w:b/>
                <w:sz w:val="20"/>
              </w:rPr>
              <w:t>Cases</w:t>
            </w:r>
          </w:p>
        </w:tc>
        <w:tc>
          <w:tcPr>
            <w:tcW w:type="dxa" w:w="2160"/>
          </w:tcPr>
          <w:p>
            <w:r>
              <w:rPr>
                <w:b/>
                <w:sz w:val="20"/>
              </w:rPr>
              <w:t>Share</w:t>
            </w:r>
          </w:p>
        </w:tc>
      </w:tr>
      <w:tr>
        <w:tc>
          <w:tcPr>
            <w:tcW w:type="dxa" w:w="2160"/>
          </w:tcPr>
          <w:p>
            <w:r>
              <w:t>1</w:t>
            </w:r>
          </w:p>
        </w:tc>
        <w:tc>
          <w:tcPr>
            <w:tcW w:type="dxa" w:w="2160"/>
          </w:tcPr>
          <w:p>
            <w:r>
              <w:t>View Processing Queue → View Processing Queue</w:t>
            </w:r>
          </w:p>
        </w:tc>
        <w:tc>
          <w:tcPr>
            <w:tcW w:type="dxa" w:w="2160"/>
          </w:tcPr>
          <w:p>
            <w:r>
              <w:t>202</w:t>
            </w:r>
          </w:p>
        </w:tc>
        <w:tc>
          <w:tcPr>
            <w:tcW w:type="dxa" w:w="2160"/>
          </w:tcPr>
          <w:p>
            <w:r>
              <w:t>40.6%</w:t>
            </w:r>
          </w:p>
        </w:tc>
      </w:tr>
      <w:tr>
        <w:tc>
          <w:tcPr>
            <w:tcW w:type="dxa" w:w="2160"/>
          </w:tcPr>
          <w:p>
            <w:r>
              <w:t>2</w:t>
            </w:r>
          </w:p>
        </w:tc>
        <w:tc>
          <w:tcPr>
            <w:tcW w:type="dxa" w:w="2160"/>
          </w:tcPr>
          <w:p>
            <w:r>
              <w:t>View Processing Routed → View Processing Routed</w:t>
            </w:r>
          </w:p>
        </w:tc>
        <w:tc>
          <w:tcPr>
            <w:tcW w:type="dxa" w:w="2160"/>
          </w:tcPr>
          <w:p>
            <w:r>
              <w:t>126</w:t>
            </w:r>
          </w:p>
        </w:tc>
        <w:tc>
          <w:tcPr>
            <w:tcW w:type="dxa" w:w="2160"/>
          </w:tcPr>
          <w:p>
            <w:r>
              <w:t>24.4%</w:t>
            </w:r>
          </w:p>
        </w:tc>
      </w:tr>
      <w:tr>
        <w:tc>
          <w:tcPr>
            <w:tcW w:type="dxa" w:w="2160"/>
          </w:tcPr>
          <w:p>
            <w:r>
              <w:t>3</w:t>
            </w:r>
          </w:p>
        </w:tc>
        <w:tc>
          <w:tcPr>
            <w:tcW w:type="dxa" w:w="2160"/>
          </w:tcPr>
          <w:p>
            <w:r>
              <w:t>View Processing Routed → View Processing Queue</w:t>
            </w:r>
          </w:p>
        </w:tc>
        <w:tc>
          <w:tcPr>
            <w:tcW w:type="dxa" w:w="2160"/>
          </w:tcPr>
          <w:p>
            <w:r>
              <w:t>122</w:t>
            </w:r>
          </w:p>
        </w:tc>
        <w:tc>
          <w:tcPr>
            <w:tcW w:type="dxa" w:w="2160"/>
          </w:tcPr>
          <w:p>
            <w:r>
              <w:t>15.4%</w:t>
            </w:r>
          </w:p>
        </w:tc>
      </w:tr>
      <w:tr>
        <w:tc>
          <w:tcPr>
            <w:tcW w:type="dxa" w:w="2160"/>
          </w:tcPr>
          <w:p>
            <w:r>
              <w:t>4</w:t>
            </w:r>
          </w:p>
        </w:tc>
        <w:tc>
          <w:tcPr>
            <w:tcW w:type="dxa" w:w="2160"/>
          </w:tcPr>
          <w:p>
            <w:r>
              <w:t>View Processing Queue → View Processing Routed</w:t>
            </w:r>
          </w:p>
        </w:tc>
        <w:tc>
          <w:tcPr>
            <w:tcW w:type="dxa" w:w="2160"/>
          </w:tcPr>
          <w:p>
            <w:r>
              <w:t>103</w:t>
            </w:r>
          </w:p>
        </w:tc>
        <w:tc>
          <w:tcPr>
            <w:tcW w:type="dxa" w:w="2160"/>
          </w:tcPr>
          <w:p>
            <w:r>
              <w:t>12.2%</w:t>
            </w:r>
          </w:p>
        </w:tc>
      </w:tr>
      <w:tr>
        <w:tc>
          <w:tcPr>
            <w:tcW w:type="dxa" w:w="2160"/>
          </w:tcPr>
          <w:p>
            <w:r>
              <w:t>5</w:t>
            </w:r>
          </w:p>
        </w:tc>
        <w:tc>
          <w:tcPr>
            <w:tcW w:type="dxa" w:w="2160"/>
          </w:tcPr>
          <w:p>
            <w:r>
              <w:t>View Re-Routing → View Re-Routing</w:t>
            </w:r>
          </w:p>
        </w:tc>
        <w:tc>
          <w:tcPr>
            <w:tcW w:type="dxa" w:w="2160"/>
          </w:tcPr>
          <w:p>
            <w:r>
              <w:t>33</w:t>
            </w:r>
          </w:p>
        </w:tc>
        <w:tc>
          <w:tcPr>
            <w:tcW w:type="dxa" w:w="2160"/>
          </w:tcPr>
          <w:p>
            <w:r>
              <w:t>7.4%</w:t>
            </w:r>
          </w:p>
        </w:tc>
      </w:tr>
    </w:tbl>
    <w:p>
      <w:pPr>
        <w:pStyle w:val="Heading1"/>
      </w:pPr>
      <w:r>
        <w:rPr>
          <w:color w:val="334155"/>
        </w:rPr>
        <w:t>5. Applications Footprint</w:t>
      </w:r>
    </w:p>
    <w:p>
      <w:r>
        <w:t>Distribution of work across applications during this stage.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sz w:val="20"/>
              </w:rPr>
              <w:t>Application</w:t>
            </w:r>
          </w:p>
        </w:tc>
        <w:tc>
          <w:tcPr>
            <w:tcW w:type="dxa" w:w="1728"/>
          </w:tcPr>
          <w:p>
            <w:r>
              <w:rPr>
                <w:b/>
                <w:sz w:val="20"/>
              </w:rPr>
              <w:t>Events</w:t>
            </w:r>
          </w:p>
        </w:tc>
        <w:tc>
          <w:tcPr>
            <w:tcW w:type="dxa" w:w="1728"/>
          </w:tcPr>
          <w:p>
            <w:r>
              <w:rPr>
                <w:b/>
                <w:sz w:val="20"/>
              </w:rPr>
              <w:t>Cases</w:t>
            </w:r>
          </w:p>
        </w:tc>
        <w:tc>
          <w:tcPr>
            <w:tcW w:type="dxa" w:w="1728"/>
          </w:tcPr>
          <w:p>
            <w:r>
              <w:rPr>
                <w:b/>
                <w:sz w:val="20"/>
              </w:rPr>
              <w:t>Avg dwell</w:t>
            </w:r>
          </w:p>
        </w:tc>
        <w:tc>
          <w:tcPr>
            <w:tcW w:type="dxa" w:w="1728"/>
          </w:tcPr>
          <w:p>
            <w:r>
              <w:rPr>
                <w:b/>
                <w:sz w:val="20"/>
              </w:rPr>
              <w:t>Total minutes</w:t>
            </w:r>
          </w:p>
        </w:tc>
      </w:tr>
      <w:tr>
        <w:tc>
          <w:tcPr>
            <w:tcW w:type="dxa" w:w="1728"/>
          </w:tcPr>
          <w:p>
            <w:r>
              <w:t>Phobos</w:t>
            </w:r>
          </w:p>
        </w:tc>
        <w:tc>
          <w:tcPr>
            <w:tcW w:type="dxa" w:w="1728"/>
          </w:tcPr>
          <w:p>
            <w:r>
              <w:t>1,793</w:t>
            </w:r>
          </w:p>
        </w:tc>
        <w:tc>
          <w:tcPr>
            <w:tcW w:type="dxa" w:w="1728"/>
          </w:tcPr>
          <w:p>
            <w:r>
              <w:t>384</w:t>
            </w:r>
          </w:p>
        </w:tc>
        <w:tc>
          <w:tcPr>
            <w:tcW w:type="dxa" w:w="1728"/>
          </w:tcPr>
          <w:p>
            <w:r>
              <w:t>0.61s</w:t>
            </w:r>
          </w:p>
        </w:tc>
        <w:tc>
          <w:tcPr>
            <w:tcW w:type="dxa" w:w="1728"/>
          </w:tcPr>
          <w:p>
            <w:r>
              <w:t>18.3</w:t>
            </w:r>
          </w:p>
        </w:tc>
      </w:tr>
    </w:tbl>
    <w:p>
      <w:r>
        <w:br w:type="page"/>
      </w:r>
    </w:p>
    <w:p>
      <w:pPr>
        <w:pStyle w:val="Heading1"/>
      </w:pPr>
      <w:r>
        <w:rPr>
          <w:color w:val="334155"/>
        </w:rPr>
        <w:t>Revision &amp; Approval</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Version</w:t>
            </w:r>
          </w:p>
        </w:tc>
        <w:tc>
          <w:tcPr>
            <w:tcW w:type="dxa" w:w="2160"/>
          </w:tcPr>
          <w:p>
            <w:r>
              <w:rPr>
                <w:b/>
              </w:rPr>
              <w:t>Date</w:t>
            </w:r>
          </w:p>
        </w:tc>
        <w:tc>
          <w:tcPr>
            <w:tcW w:type="dxa" w:w="2160"/>
          </w:tcPr>
          <w:p>
            <w:r>
              <w:rPr>
                <w:b/>
              </w:rPr>
              <w:t>Author</w:t>
            </w:r>
          </w:p>
        </w:tc>
        <w:tc>
          <w:tcPr>
            <w:tcW w:type="dxa" w:w="2160"/>
          </w:tcPr>
          <w:p>
            <w:r>
              <w:rPr>
                <w:b/>
              </w:rPr>
              <w:t>Description</w:t>
            </w:r>
          </w:p>
        </w:tc>
      </w:tr>
      <w:tr>
        <w:tc>
          <w:tcPr>
            <w:tcW w:type="dxa" w:w="2160"/>
          </w:tcPr>
          <w:p>
            <w:r>
              <w:t>1.0</w:t>
            </w:r>
          </w:p>
        </w:tc>
        <w:tc>
          <w:tcPr>
            <w:tcW w:type="dxa" w:w="2160"/>
          </w:tcPr>
          <w:p>
            <w:r>
              <w:t>Auto-generated</w:t>
            </w:r>
          </w:p>
        </w:tc>
        <w:tc>
          <w:tcPr>
            <w:tcW w:type="dxa" w:w="2160"/>
          </w:tcPr>
          <w:p>
            <w:r>
              <w:t>Pyze Execution Intelligence</w:t>
            </w:r>
          </w:p>
        </w:tc>
        <w:tc>
          <w:tcPr>
            <w:tcW w:type="dxa" w:w="2160"/>
          </w:tcPr>
          <w:p>
            <w:r>
              <w:t>Initial generation from pilot data</w:t>
            </w:r>
          </w:p>
        </w:tc>
      </w:tr>
    </w:tbl>
    <w:p/>
    <w:p>
      <w:r>
        <w:rPr>
          <w:color w:val="64748B"/>
          <w:sz w:val="18"/>
        </w:rPr>
        <w:t>This document is a living SOP. It is regenerated from production observation and the Pyze platform flags drift when observed behavior diverges from the published procedure. Connect to Veeva QualityDocs or Confluence from the web interface to keep the published version in sync.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