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Intake</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Intake Coordinator</w:t>
            </w:r>
          </w:p>
        </w:tc>
      </w:tr>
      <w:tr>
        <w:tc>
          <w:tcPr>
            <w:tcW w:type="dxa" w:w="4320"/>
          </w:tcPr>
          <w:p>
            <w:r>
              <w:rPr>
                <w:b/>
                <w:sz w:val="20"/>
              </w:rPr>
              <w:t>Cases Observed</w:t>
            </w:r>
          </w:p>
        </w:tc>
        <w:tc>
          <w:tcPr>
            <w:tcW w:type="dxa" w:w="4320"/>
          </w:tcPr>
          <w:p>
            <w:r>
              <w:t>465</w:t>
            </w:r>
          </w:p>
        </w:tc>
      </w:tr>
      <w:tr>
        <w:tc>
          <w:tcPr>
            <w:tcW w:type="dxa" w:w="4320"/>
          </w:tcPr>
          <w:p>
            <w:r>
              <w:rPr>
                <w:b/>
                <w:sz w:val="20"/>
              </w:rPr>
              <w:t>Events Analyzed</w:t>
            </w:r>
          </w:p>
        </w:tc>
        <w:tc>
          <w:tcPr>
            <w:tcW w:type="dxa" w:w="4320"/>
          </w:tcPr>
          <w:p>
            <w:r>
              <w:t>2,753</w:t>
            </w:r>
          </w:p>
        </w:tc>
      </w:tr>
      <w:tr>
        <w:tc>
          <w:tcPr>
            <w:tcW w:type="dxa" w:w="4320"/>
          </w:tcPr>
          <w:p>
            <w:r>
              <w:rPr>
                <w:b/>
                <w:sz w:val="20"/>
              </w:rPr>
              <w:t>Median Cycle Time</w:t>
            </w:r>
          </w:p>
        </w:tc>
        <w:tc>
          <w:tcPr>
            <w:tcW w:type="dxa" w:w="4320"/>
          </w:tcPr>
          <w:p>
            <w:r>
              <w:t>4.1 minutes</w:t>
            </w:r>
          </w:p>
        </w:tc>
      </w:tr>
      <w:tr>
        <w:tc>
          <w:tcPr>
            <w:tcW w:type="dxa" w:w="4320"/>
          </w:tcPr>
          <w:p>
            <w:r>
              <w:rPr>
                <w:b/>
                <w:sz w:val="20"/>
              </w:rPr>
              <w:t>Confidence Band</w:t>
            </w:r>
          </w:p>
        </w:tc>
        <w:tc>
          <w:tcPr>
            <w:tcW w:type="dxa" w:w="4320"/>
          </w:tcPr>
          <w:p>
            <w:r>
              <w:t>81%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Receive incoming adverse-event case information from multiple channels (literature, spontaneous reports, regulatory feeds, healthcare professionals) and validate it is ready for formal case processing.</w:t>
      </w:r>
    </w:p>
    <w:p>
      <w:pPr>
        <w:pStyle w:val="Heading1"/>
      </w:pPr>
      <w:r>
        <w:rPr>
          <w:color w:val="334155"/>
        </w:rPr>
        <w:t>2. Regulatory Context</w:t>
      </w:r>
    </w:p>
    <w:p>
      <w:r>
        <w:t>Intake accuracy governs downstream case lifecycle timing — late or incomplete intake compounds into SUSAR reporting delays that are regulated under ICH E2D and FDA 21 CFR 314.80.</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Phobos Activity</w:t>
      </w:r>
    </w:p>
    <w:p>
      <w:r>
        <w:rPr>
          <w:color w:val="64748B"/>
          <w:sz w:val="18"/>
        </w:rPr>
        <w:t>Application: None    Frequency: 1,378 observations    Cases: 431    Analysts: 8    Median duration: 2.0s    Confidence: 100%</w:t>
      </w:r>
    </w:p>
    <w:p>
      <w:pPr>
        <w:pStyle w:val="Heading2"/>
      </w:pPr>
      <w:r>
        <w:rPr>
          <w:color w:val="4338CA"/>
        </w:rPr>
        <w:t>Step 2. View Intake Processing</w:t>
      </w:r>
    </w:p>
    <w:p>
      <w:r>
        <w:rPr>
          <w:color w:val="64748B"/>
          <w:sz w:val="18"/>
        </w:rPr>
        <w:t>Application: None    Frequency: 640 observations    Cases: 171    Analysts: 7    Median duration: 6.0s    Confidence: 100%</w:t>
      </w:r>
    </w:p>
    <w:p>
      <w:pPr>
        <w:pStyle w:val="Heading2"/>
      </w:pPr>
      <w:r>
        <w:rPr>
          <w:color w:val="4338CA"/>
        </w:rPr>
        <w:t>Step 3. View Intake Routed</w:t>
      </w:r>
    </w:p>
    <w:p>
      <w:r>
        <w:rPr>
          <w:color w:val="64748B"/>
          <w:sz w:val="18"/>
        </w:rPr>
        <w:t>Application: None    Frequency: 262 observations    Cases: 122    Analysts: 7    Median duration: 0s    Confidence: 100%</w:t>
      </w:r>
    </w:p>
    <w:p>
      <w:pPr>
        <w:pStyle w:val="Heading2"/>
      </w:pPr>
      <w:r>
        <w:rPr>
          <w:color w:val="4338CA"/>
        </w:rPr>
        <w:t>Step 4. View Intake Pre-Routing</w:t>
      </w:r>
    </w:p>
    <w:p>
      <w:r>
        <w:rPr>
          <w:color w:val="64748B"/>
          <w:sz w:val="18"/>
        </w:rPr>
        <w:t>Application: None    Frequency: 8 observations    Cases: 5    Analysts: 3    Median duration: 7.0s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Phobos Activity → Phobos Activity</w:t>
            </w:r>
          </w:p>
        </w:tc>
        <w:tc>
          <w:tcPr>
            <w:tcW w:type="dxa" w:w="2160"/>
          </w:tcPr>
          <w:p>
            <w:r>
              <w:t>213</w:t>
            </w:r>
          </w:p>
        </w:tc>
        <w:tc>
          <w:tcPr>
            <w:tcW w:type="dxa" w:w="2160"/>
          </w:tcPr>
          <w:p>
            <w:r>
              <w:t>44.5%</w:t>
            </w:r>
          </w:p>
        </w:tc>
      </w:tr>
      <w:tr>
        <w:tc>
          <w:tcPr>
            <w:tcW w:type="dxa" w:w="2160"/>
          </w:tcPr>
          <w:p>
            <w:r>
              <w:t>2</w:t>
            </w:r>
          </w:p>
        </w:tc>
        <w:tc>
          <w:tcPr>
            <w:tcW w:type="dxa" w:w="2160"/>
          </w:tcPr>
          <w:p>
            <w:r>
              <w:t>View Intake Processing → View Intake Processing</w:t>
            </w:r>
          </w:p>
        </w:tc>
        <w:tc>
          <w:tcPr>
            <w:tcW w:type="dxa" w:w="2160"/>
          </w:tcPr>
          <w:p>
            <w:r>
              <w:t>124</w:t>
            </w:r>
          </w:p>
        </w:tc>
        <w:tc>
          <w:tcPr>
            <w:tcW w:type="dxa" w:w="2160"/>
          </w:tcPr>
          <w:p>
            <w:r>
              <w:t>24.8%</w:t>
            </w:r>
          </w:p>
        </w:tc>
      </w:tr>
      <w:tr>
        <w:tc>
          <w:tcPr>
            <w:tcW w:type="dxa" w:w="2160"/>
          </w:tcPr>
          <w:p>
            <w:r>
              <w:t>3</w:t>
            </w:r>
          </w:p>
        </w:tc>
        <w:tc>
          <w:tcPr>
            <w:tcW w:type="dxa" w:w="2160"/>
          </w:tcPr>
          <w:p>
            <w:r>
              <w:t>View Intake Processing → Phobos Activity</w:t>
            </w:r>
          </w:p>
        </w:tc>
        <w:tc>
          <w:tcPr>
            <w:tcW w:type="dxa" w:w="2160"/>
          </w:tcPr>
          <w:p>
            <w:r>
              <w:t>128</w:t>
            </w:r>
          </w:p>
        </w:tc>
        <w:tc>
          <w:tcPr>
            <w:tcW w:type="dxa" w:w="2160"/>
          </w:tcPr>
          <w:p>
            <w:r>
              <w:t>12.4%</w:t>
            </w:r>
          </w:p>
        </w:tc>
      </w:tr>
      <w:tr>
        <w:tc>
          <w:tcPr>
            <w:tcW w:type="dxa" w:w="2160"/>
          </w:tcPr>
          <w:p>
            <w:r>
              <w:t>4</w:t>
            </w:r>
          </w:p>
        </w:tc>
        <w:tc>
          <w:tcPr>
            <w:tcW w:type="dxa" w:w="2160"/>
          </w:tcPr>
          <w:p>
            <w:r>
              <w:t>Phobos Activity → View Intake Processing</w:t>
            </w:r>
          </w:p>
        </w:tc>
        <w:tc>
          <w:tcPr>
            <w:tcW w:type="dxa" w:w="2160"/>
          </w:tcPr>
          <w:p>
            <w:r>
              <w:t>97</w:t>
            </w:r>
          </w:p>
        </w:tc>
        <w:tc>
          <w:tcPr>
            <w:tcW w:type="dxa" w:w="2160"/>
          </w:tcPr>
          <w:p>
            <w:r>
              <w:t>9.2%</w:t>
            </w:r>
          </w:p>
        </w:tc>
      </w:tr>
      <w:tr>
        <w:tc>
          <w:tcPr>
            <w:tcW w:type="dxa" w:w="2160"/>
          </w:tcPr>
          <w:p>
            <w:r>
              <w:t>5</w:t>
            </w:r>
          </w:p>
        </w:tc>
        <w:tc>
          <w:tcPr>
            <w:tcW w:type="dxa" w:w="2160"/>
          </w:tcPr>
          <w:p>
            <w:r>
              <w:t>Phobos Activity → View Intake Routed</w:t>
            </w:r>
          </w:p>
        </w:tc>
        <w:tc>
          <w:tcPr>
            <w:tcW w:type="dxa" w:w="2160"/>
          </w:tcPr>
          <w:p>
            <w:r>
              <w:t>98</w:t>
            </w:r>
          </w:p>
        </w:tc>
        <w:tc>
          <w:tcPr>
            <w:tcW w:type="dxa" w:w="2160"/>
          </w:tcPr>
          <w:p>
            <w:r>
              <w:t>9.1%</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Phobos</w:t>
            </w:r>
          </w:p>
        </w:tc>
        <w:tc>
          <w:tcPr>
            <w:tcW w:type="dxa" w:w="1728"/>
          </w:tcPr>
          <w:p>
            <w:r>
              <w:t>2,753</w:t>
            </w:r>
          </w:p>
        </w:tc>
        <w:tc>
          <w:tcPr>
            <w:tcW w:type="dxa" w:w="1728"/>
          </w:tcPr>
          <w:p>
            <w:r>
              <w:t>465</w:t>
            </w:r>
          </w:p>
        </w:tc>
        <w:tc>
          <w:tcPr>
            <w:tcW w:type="dxa" w:w="1728"/>
          </w:tcPr>
          <w:p>
            <w:r>
              <w:t>2.21s</w:t>
            </w:r>
          </w:p>
        </w:tc>
        <w:tc>
          <w:tcPr>
            <w:tcW w:type="dxa" w:w="1728"/>
          </w:tcPr>
          <w:p>
            <w:r>
              <w:t>101.3</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