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Case Advancement</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Case Processor</w:t>
            </w:r>
          </w:p>
        </w:tc>
      </w:tr>
      <w:tr>
        <w:tc>
          <w:tcPr>
            <w:tcW w:type="dxa" w:w="4320"/>
          </w:tcPr>
          <w:p>
            <w:r>
              <w:rPr>
                <w:b/>
                <w:sz w:val="20"/>
              </w:rPr>
              <w:t>Cases Observed</w:t>
            </w:r>
          </w:p>
        </w:tc>
        <w:tc>
          <w:tcPr>
            <w:tcW w:type="dxa" w:w="4320"/>
          </w:tcPr>
          <w:p>
            <w:r>
              <w:t>378</w:t>
            </w:r>
          </w:p>
        </w:tc>
      </w:tr>
      <w:tr>
        <w:tc>
          <w:tcPr>
            <w:tcW w:type="dxa" w:w="4320"/>
          </w:tcPr>
          <w:p>
            <w:r>
              <w:rPr>
                <w:b/>
                <w:sz w:val="20"/>
              </w:rPr>
              <w:t>Events Analyzed</w:t>
            </w:r>
          </w:p>
        </w:tc>
        <w:tc>
          <w:tcPr>
            <w:tcW w:type="dxa" w:w="4320"/>
          </w:tcPr>
          <w:p>
            <w:r>
              <w:t>1,637</w:t>
            </w:r>
          </w:p>
        </w:tc>
      </w:tr>
      <w:tr>
        <w:tc>
          <w:tcPr>
            <w:tcW w:type="dxa" w:w="4320"/>
          </w:tcPr>
          <w:p>
            <w:r>
              <w:rPr>
                <w:b/>
                <w:sz w:val="20"/>
              </w:rPr>
              <w:t>Median Cycle Time</w:t>
            </w:r>
          </w:p>
        </w:tc>
        <w:tc>
          <w:tcPr>
            <w:tcW w:type="dxa" w:w="4320"/>
          </w:tcPr>
          <w:p>
            <w:r>
              <w:t>1.7 minutes</w:t>
            </w:r>
          </w:p>
        </w:tc>
      </w:tr>
      <w:tr>
        <w:tc>
          <w:tcPr>
            <w:tcW w:type="dxa" w:w="4320"/>
          </w:tcPr>
          <w:p>
            <w:r>
              <w:rPr>
                <w:b/>
                <w:sz w:val="20"/>
              </w:rPr>
              <w:t>Confidence Band</w:t>
            </w:r>
          </w:p>
        </w:tc>
        <w:tc>
          <w:tcPr>
            <w:tcW w:type="dxa" w:w="4320"/>
          </w:tcPr>
          <w:p>
            <w:r>
              <w:t>100%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Execute workflow transitions that move a case from one operational state to the next — marking a stage complete and handing off to the next team.</w:t>
      </w:r>
    </w:p>
    <w:p>
      <w:pPr>
        <w:pStyle w:val="Heading1"/>
      </w:pPr>
      <w:r>
        <w:rPr>
          <w:color w:val="334155"/>
        </w:rPr>
        <w:t>2. Regulatory Context</w:t>
      </w:r>
    </w:p>
    <w:p>
      <w:r>
        <w:t>Advancement events establish the audit trail for case handoffs. Must be captured accurately for downstream SLA measurement.</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Complete Action</w:t>
      </w:r>
    </w:p>
    <w:p>
      <w:r>
        <w:rPr>
          <w:color w:val="64748B"/>
          <w:sz w:val="18"/>
        </w:rPr>
        <w:t>Application: None    Frequency: 1,184 observations    Cases: 425    Analysts: 15    Median duration: 60.0s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Complete Action → Complete Action</w:t>
            </w:r>
          </w:p>
        </w:tc>
        <w:tc>
          <w:tcPr>
            <w:tcW w:type="dxa" w:w="2160"/>
          </w:tcPr>
          <w:p>
            <w:r>
              <w:t>352</w:t>
            </w:r>
          </w:p>
        </w:tc>
        <w:tc>
          <w:tcPr>
            <w:tcW w:type="dxa" w:w="2160"/>
          </w:tcPr>
          <w:p>
            <w:r>
              <w:t>100.0%</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1,637</w:t>
            </w:r>
          </w:p>
        </w:tc>
        <w:tc>
          <w:tcPr>
            <w:tcW w:type="dxa" w:w="1728"/>
          </w:tcPr>
          <w:p>
            <w:r>
              <w:t>378</w:t>
            </w:r>
          </w:p>
        </w:tc>
        <w:tc>
          <w:tcPr>
            <w:tcW w:type="dxa" w:w="1728"/>
          </w:tcPr>
          <w:p>
            <w:r>
              <w:t>1.11s</w:t>
            </w:r>
          </w:p>
        </w:tc>
        <w:tc>
          <w:tcPr>
            <w:tcW w:type="dxa" w:w="1728"/>
          </w:tcPr>
          <w:p>
            <w:r>
              <w:t>30.2</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