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Assessment</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Safety Reviewer / Medical Assessor</w:t>
            </w:r>
          </w:p>
        </w:tc>
      </w:tr>
      <w:tr>
        <w:tc>
          <w:tcPr>
            <w:tcW w:type="dxa" w:w="4320"/>
          </w:tcPr>
          <w:p>
            <w:r>
              <w:rPr>
                <w:b/>
                <w:sz w:val="20"/>
              </w:rPr>
              <w:t>Cases Observed</w:t>
            </w:r>
          </w:p>
        </w:tc>
        <w:tc>
          <w:tcPr>
            <w:tcW w:type="dxa" w:w="4320"/>
          </w:tcPr>
          <w:p>
            <w:r>
              <w:t>793</w:t>
            </w:r>
          </w:p>
        </w:tc>
      </w:tr>
      <w:tr>
        <w:tc>
          <w:tcPr>
            <w:tcW w:type="dxa" w:w="4320"/>
          </w:tcPr>
          <w:p>
            <w:r>
              <w:rPr>
                <w:b/>
                <w:sz w:val="20"/>
              </w:rPr>
              <w:t>Events Analyzed</w:t>
            </w:r>
          </w:p>
        </w:tc>
        <w:tc>
          <w:tcPr>
            <w:tcW w:type="dxa" w:w="4320"/>
          </w:tcPr>
          <w:p>
            <w:r>
              <w:t>2,656</w:t>
            </w:r>
          </w:p>
        </w:tc>
      </w:tr>
      <w:tr>
        <w:tc>
          <w:tcPr>
            <w:tcW w:type="dxa" w:w="4320"/>
          </w:tcPr>
          <w:p>
            <w:r>
              <w:rPr>
                <w:b/>
                <w:sz w:val="20"/>
              </w:rPr>
              <w:t>Median Cycle Time</w:t>
            </w:r>
          </w:p>
        </w:tc>
        <w:tc>
          <w:tcPr>
            <w:tcW w:type="dxa" w:w="4320"/>
          </w:tcPr>
          <w:p>
            <w:r>
              <w:t>1.9 minutes</w:t>
            </w:r>
          </w:p>
        </w:tc>
      </w:tr>
      <w:tr>
        <w:tc>
          <w:tcPr>
            <w:tcW w:type="dxa" w:w="4320"/>
          </w:tcPr>
          <w:p>
            <w:r>
              <w:rPr>
                <w:b/>
                <w:sz w:val="20"/>
              </w:rPr>
              <w:t>Confidence Band</w:t>
            </w:r>
          </w:p>
        </w:tc>
        <w:tc>
          <w:tcPr>
            <w:tcW w:type="dxa" w:w="4320"/>
          </w:tcPr>
          <w:p>
            <w:r>
              <w:t>94%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Medically assess each adverse event, including product association, severity grading, and causality. This is the stage where a licensed safety reviewer evaluates the clinical significance of each reported event.</w:t>
      </w:r>
    </w:p>
    <w:p>
      <w:pPr>
        <w:pStyle w:val="Heading1"/>
      </w:pPr>
      <w:r>
        <w:rPr>
          <w:color w:val="334155"/>
        </w:rPr>
        <w:t>2. Regulatory Context</w:t>
      </w:r>
    </w:p>
    <w:p>
      <w:r>
        <w:t>Assessment quality is the primary driver of signal detection and regulatory judgment. Subject to audit under EMA GVP Module VI.</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Open Adverse Events Section</w:t>
      </w:r>
    </w:p>
    <w:p>
      <w:r>
        <w:rPr>
          <w:color w:val="64748B"/>
          <w:sz w:val="18"/>
        </w:rPr>
        <w:t>Application: None    Frequency: 856 observations    Cases: 459    Analysts: 12    Median duration: 33.0s    Confidence: 100%</w:t>
      </w:r>
    </w:p>
    <w:p>
      <w:pPr>
        <w:pStyle w:val="Heading2"/>
      </w:pPr>
      <w:r>
        <w:rPr>
          <w:color w:val="4338CA"/>
        </w:rPr>
        <w:t>Step 2. Enter Case Type</w:t>
      </w:r>
    </w:p>
    <w:p>
      <w:r>
        <w:rPr>
          <w:color w:val="64748B"/>
          <w:sz w:val="18"/>
        </w:rPr>
        <w:t>Application: None    Frequency: 702 observations    Cases: 297    Analysts: 8    Median duration: 3.0s    Confidence: 100%</w:t>
      </w:r>
    </w:p>
    <w:p>
      <w:pPr>
        <w:pStyle w:val="Heading2"/>
      </w:pPr>
      <w:r>
        <w:rPr>
          <w:color w:val="4338CA"/>
        </w:rPr>
        <w:t>Step 3. Open Products Section</w:t>
      </w:r>
    </w:p>
    <w:p>
      <w:r>
        <w:rPr>
          <w:color w:val="64748B"/>
          <w:sz w:val="18"/>
        </w:rPr>
        <w:t>Application: None    Frequency: 479 observations    Cases: 261    Analysts: 14    Median duration: 55.0s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Open Adverse Events Section → Open Adverse Events Section</w:t>
            </w:r>
          </w:p>
        </w:tc>
        <w:tc>
          <w:tcPr>
            <w:tcW w:type="dxa" w:w="2160"/>
          </w:tcPr>
          <w:p>
            <w:r>
              <w:t>117</w:t>
            </w:r>
          </w:p>
        </w:tc>
        <w:tc>
          <w:tcPr>
            <w:tcW w:type="dxa" w:w="2160"/>
          </w:tcPr>
          <w:p>
            <w:r>
              <w:t>28.6%</w:t>
            </w:r>
          </w:p>
        </w:tc>
      </w:tr>
      <w:tr>
        <w:tc>
          <w:tcPr>
            <w:tcW w:type="dxa" w:w="2160"/>
          </w:tcPr>
          <w:p>
            <w:r>
              <w:t>2</w:t>
            </w:r>
          </w:p>
        </w:tc>
        <w:tc>
          <w:tcPr>
            <w:tcW w:type="dxa" w:w="2160"/>
          </w:tcPr>
          <w:p>
            <w:r>
              <w:t>Open Adverse Events Section → Open Products Section</w:t>
            </w:r>
          </w:p>
        </w:tc>
        <w:tc>
          <w:tcPr>
            <w:tcW w:type="dxa" w:w="2160"/>
          </w:tcPr>
          <w:p>
            <w:r>
              <w:t>140</w:t>
            </w:r>
          </w:p>
        </w:tc>
        <w:tc>
          <w:tcPr>
            <w:tcW w:type="dxa" w:w="2160"/>
          </w:tcPr>
          <w:p>
            <w:r>
              <w:t>23.8%</w:t>
            </w:r>
          </w:p>
        </w:tc>
      </w:tr>
      <w:tr>
        <w:tc>
          <w:tcPr>
            <w:tcW w:type="dxa" w:w="2160"/>
          </w:tcPr>
          <w:p>
            <w:r>
              <w:t>3</w:t>
            </w:r>
          </w:p>
        </w:tc>
        <w:tc>
          <w:tcPr>
            <w:tcW w:type="dxa" w:w="2160"/>
          </w:tcPr>
          <w:p>
            <w:r>
              <w:t>Open Products Section → Open Adverse Events Section</w:t>
            </w:r>
          </w:p>
        </w:tc>
        <w:tc>
          <w:tcPr>
            <w:tcW w:type="dxa" w:w="2160"/>
          </w:tcPr>
          <w:p>
            <w:r>
              <w:t>124</w:t>
            </w:r>
          </w:p>
        </w:tc>
        <w:tc>
          <w:tcPr>
            <w:tcW w:type="dxa" w:w="2160"/>
          </w:tcPr>
          <w:p>
            <w:r>
              <w:t>21.9%</w:t>
            </w:r>
          </w:p>
        </w:tc>
      </w:tr>
      <w:tr>
        <w:tc>
          <w:tcPr>
            <w:tcW w:type="dxa" w:w="2160"/>
          </w:tcPr>
          <w:p>
            <w:r>
              <w:t>4</w:t>
            </w:r>
          </w:p>
        </w:tc>
        <w:tc>
          <w:tcPr>
            <w:tcW w:type="dxa" w:w="2160"/>
          </w:tcPr>
          <w:p>
            <w:r>
              <w:t>Select Report Type → Enter MARRS Case ID</w:t>
            </w:r>
          </w:p>
        </w:tc>
        <w:tc>
          <w:tcPr>
            <w:tcW w:type="dxa" w:w="2160"/>
          </w:tcPr>
          <w:p>
            <w:r>
              <w:t>94</w:t>
            </w:r>
          </w:p>
        </w:tc>
        <w:tc>
          <w:tcPr>
            <w:tcW w:type="dxa" w:w="2160"/>
          </w:tcPr>
          <w:p>
            <w:r>
              <w:t>13.2%</w:t>
            </w:r>
          </w:p>
        </w:tc>
      </w:tr>
      <w:tr>
        <w:tc>
          <w:tcPr>
            <w:tcW w:type="dxa" w:w="2160"/>
          </w:tcPr>
          <w:p>
            <w:r>
              <w:t>5</w:t>
            </w:r>
          </w:p>
        </w:tc>
        <w:tc>
          <w:tcPr>
            <w:tcW w:type="dxa" w:w="2160"/>
          </w:tcPr>
          <w:p>
            <w:r>
              <w:t>Select Adverse Events → Select Adverse Events</w:t>
            </w:r>
          </w:p>
        </w:tc>
        <w:tc>
          <w:tcPr>
            <w:tcW w:type="dxa" w:w="2160"/>
          </w:tcPr>
          <w:p>
            <w:r>
              <w:t>63</w:t>
            </w:r>
          </w:p>
        </w:tc>
        <w:tc>
          <w:tcPr>
            <w:tcW w:type="dxa" w:w="2160"/>
          </w:tcPr>
          <w:p>
            <w:r>
              <w:t>12.5%</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1,914</w:t>
            </w:r>
          </w:p>
        </w:tc>
        <w:tc>
          <w:tcPr>
            <w:tcW w:type="dxa" w:w="1728"/>
          </w:tcPr>
          <w:p>
            <w:r>
              <w:t>713</w:t>
            </w:r>
          </w:p>
        </w:tc>
        <w:tc>
          <w:tcPr>
            <w:tcW w:type="dxa" w:w="1728"/>
          </w:tcPr>
          <w:p>
            <w:r>
              <w:t>0.26s</w:t>
            </w:r>
          </w:p>
        </w:tc>
        <w:tc>
          <w:tcPr>
            <w:tcW w:type="dxa" w:w="1728"/>
          </w:tcPr>
          <w:p>
            <w:r>
              <w:t>8.2</w:t>
            </w:r>
          </w:p>
        </w:tc>
      </w:tr>
      <w:tr>
        <w:tc>
          <w:tcPr>
            <w:tcW w:type="dxa" w:w="1728"/>
          </w:tcPr>
          <w:p>
            <w:r>
              <w:t>Phobos</w:t>
            </w:r>
          </w:p>
        </w:tc>
        <w:tc>
          <w:tcPr>
            <w:tcW w:type="dxa" w:w="1728"/>
          </w:tcPr>
          <w:p>
            <w:r>
              <w:t>742</w:t>
            </w:r>
          </w:p>
        </w:tc>
        <w:tc>
          <w:tcPr>
            <w:tcW w:type="dxa" w:w="1728"/>
          </w:tcPr>
          <w:p>
            <w:r>
              <w:t>297</w:t>
            </w:r>
          </w:p>
        </w:tc>
        <w:tc>
          <w:tcPr>
            <w:tcW w:type="dxa" w:w="1728"/>
          </w:tcPr>
          <w:p>
            <w:r>
              <w:t>2.74s</w:t>
            </w:r>
          </w:p>
        </w:tc>
        <w:tc>
          <w:tcPr>
            <w:tcW w:type="dxa" w:w="1728"/>
          </w:tcPr>
          <w:p>
            <w:r>
              <w:t>33.9</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